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Declaração de Atendimento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à Lei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 Nº 13.019/2014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 Local, dia de mês de 2022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DECLARAÇÃO</w:t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Declaro para fins de atendimento do Item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highlight w:val="white"/>
          <w:rtl w:val="0"/>
        </w:rPr>
        <w:t xml:space="preserve">11.3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do Edital SICT 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/2022 que 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Nome da Unidade Executora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atende ao requisito do artigo 39 da Lei nº 13.019/2014, estando em condições de celebrar parcerias com a Secretaria de Inovação, Ciência e Tecnologia, uma vez que: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 - Está regularmente constituída ou, se estrangeira, está autorizada a funcionar no território nacional;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II – Cumpriu o dever de prestar contas de parceria anteriormente celebrada;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III –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IV – Não teve contas rejeitadas pela administração pública nos últimos cinco anos;</w:t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 – Não cumpre no momento, nenhuma das seguintes sanções: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a) suspensão de participação em licitação e impedimento de contratar com a administração;</w:t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b) declaração de inidoneidade para licitar ou contratar com a administração pública;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c) a prevista no inciso II do art. 73 desta Lei;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d) a prevista no inciso III do art. 73 desta Lei;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VI – Não teve contas de parceria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VII –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ão tem entre seus dirigentes pessoa: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a) cujas contas relativas a parcerias tenham sido julgadas irregulares ou rejeitadas por Tribunal ou Conselho de Contas de qualquer esfera da Federação, em decisão irrecorrível, nos últimos 8 (oito) anos;</w:t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b) julgada responsável por falta grave e inabilitada para o exercício de cargo em comissão ou função de confiança, enquanto durar a inabilitação;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c) considerada responsável por ato de improbidade, enquanto durarem os prazos estabelecidos nos incisos I, II e III do art. 12 da Lei no 8.429, de 2 de junho de 1992.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bookmarkStart w:colFirst="0" w:colLast="0" w:name="bookmark=id.2et92p0" w:id="0"/>
    <w:bookmarkEnd w:id="0"/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Representante legal da Unidade Executora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Verdana" w:cs="Verdana" w:eastAsia="Verdana" w:hAnsi="Verdana"/>
          <w:i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color w:val="000000"/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rFonts w:ascii="Verdana" w:cs="Verdana" w:eastAsia="Verdana" w:hAnsi="Verdana"/>
          <w:i w:val="1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Representante legal da Mantenedora (quando houver)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b="0" l="0" r="0" t="0"/>
          <wp:wrapSquare wrapText="bothSides" distB="0" distT="0" distL="114300" distR="11430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pos="4252"/>
        <w:tab w:val="right" w:pos="8504"/>
        <w:tab w:val="left" w:pos="6285"/>
      </w:tabs>
      <w:spacing w:after="0" w:line="240" w:lineRule="auto"/>
      <w:ind w:left="5040" w:firstLine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518FB"/>
    <w:pPr>
      <w:spacing w:after="200" w:line="276" w:lineRule="auto"/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2021-05-31T15:20:00Z</dcterms:created>
  <dc:creator>Alexandre Muller</dc:creator>
</cp:coreProperties>
</file>